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A" w:rsidRDefault="00CC54BA" w:rsidP="00CC54BA">
      <w:pPr>
        <w:pStyle w:val="Heading1"/>
      </w:pPr>
      <w:r>
        <w:t>Revision Tables – Key Events, FRANCE AOS 2</w:t>
      </w:r>
      <w:bookmarkStart w:id="0" w:name="_GoBack"/>
      <w:bookmarkEnd w:id="0"/>
    </w:p>
    <w:p w:rsidR="00CC54BA" w:rsidRPr="00CC54BA" w:rsidRDefault="00CC54BA" w:rsidP="00CC5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467"/>
        <w:gridCol w:w="2392"/>
        <w:gridCol w:w="2426"/>
        <w:gridCol w:w="2182"/>
        <w:gridCol w:w="2182"/>
      </w:tblGrid>
      <w:tr w:rsidR="00A65D61" w:rsidTr="00045D80">
        <w:tc>
          <w:tcPr>
            <w:tcW w:w="2299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</w:p>
        </w:tc>
        <w:tc>
          <w:tcPr>
            <w:tcW w:w="4859" w:type="dxa"/>
            <w:gridSpan w:val="2"/>
            <w:shd w:val="clear" w:color="auto" w:fill="D9D9D9" w:themeFill="background1" w:themeFillShade="D9"/>
          </w:tcPr>
          <w:p w:rsidR="00A65D61" w:rsidRDefault="00A65D61" w:rsidP="00A65D61">
            <w:pPr>
              <w:jc w:val="center"/>
              <w:rPr>
                <w:b/>
              </w:rPr>
            </w:pPr>
            <w:r>
              <w:rPr>
                <w:b/>
              </w:rPr>
              <w:t>LOW PRIORITY</w:t>
            </w:r>
          </w:p>
        </w:tc>
        <w:tc>
          <w:tcPr>
            <w:tcW w:w="6790" w:type="dxa"/>
            <w:gridSpan w:val="3"/>
            <w:shd w:val="clear" w:color="auto" w:fill="D9D9D9" w:themeFill="background1" w:themeFillShade="D9"/>
          </w:tcPr>
          <w:p w:rsidR="00A65D61" w:rsidRDefault="00A65D61" w:rsidP="00A65D61">
            <w:pPr>
              <w:jc w:val="center"/>
              <w:rPr>
                <w:b/>
              </w:rPr>
            </w:pPr>
            <w:r>
              <w:rPr>
                <w:b/>
              </w:rPr>
              <w:t>HIGH PRIORITY</w:t>
            </w:r>
          </w:p>
        </w:tc>
      </w:tr>
      <w:tr w:rsidR="00A65D61" w:rsidTr="00A65D61">
        <w:tc>
          <w:tcPr>
            <w:tcW w:w="2299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Event (dates)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Context</w:t>
            </w:r>
          </w:p>
          <w:p w:rsidR="00A65D61" w:rsidRPr="00A65D61" w:rsidRDefault="007F22D0">
            <w:pPr>
              <w:rPr>
                <w:b/>
              </w:rPr>
            </w:pPr>
            <w:r>
              <w:rPr>
                <w:b/>
              </w:rPr>
              <w:t>(T</w:t>
            </w:r>
            <w:r w:rsidR="00A65D61">
              <w:rPr>
                <w:b/>
              </w:rPr>
              <w:t>hink about background and/or Causes)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A65D61" w:rsidRPr="00A65D61" w:rsidRDefault="00A65D6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What</w:t>
            </w:r>
            <w:r>
              <w:rPr>
                <w:b/>
              </w:rPr>
              <w:t xml:space="preserve"> events followed this?)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  <w:p w:rsidR="00A65D61" w:rsidRPr="00A65D61" w:rsidRDefault="00A65D6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Why</w:t>
            </w:r>
            <w:r>
              <w:rPr>
                <w:b/>
              </w:rPr>
              <w:t xml:space="preserve"> is this event important? This is crucial as </w:t>
            </w:r>
            <w:r w:rsidR="007F22D0">
              <w:rPr>
                <w:b/>
              </w:rPr>
              <w:t>it’s</w:t>
            </w:r>
            <w:r>
              <w:rPr>
                <w:b/>
              </w:rPr>
              <w:t xml:space="preserve"> with this info that you can begin to </w:t>
            </w:r>
            <w:r w:rsidRPr="00A65D61">
              <w:rPr>
                <w:b/>
                <w:i/>
              </w:rPr>
              <w:t>analyse</w:t>
            </w:r>
            <w:r>
              <w:rPr>
                <w:b/>
              </w:rPr>
              <w:t xml:space="preserve"> in your answers</w:t>
            </w:r>
            <w:r w:rsidR="00501DF1">
              <w:rPr>
                <w:b/>
              </w:rPr>
              <w:t>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501DF1" w:rsidRPr="00A65D61" w:rsidRDefault="00501DF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Dates</w:t>
            </w:r>
            <w:r>
              <w:rPr>
                <w:b/>
              </w:rPr>
              <w:t>, stats, people, places, quotes etc.)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Historians</w:t>
            </w:r>
          </w:p>
          <w:p w:rsidR="007F22D0" w:rsidRPr="00A65D61" w:rsidRDefault="007F22D0">
            <w:pPr>
              <w:rPr>
                <w:b/>
              </w:rPr>
            </w:pPr>
            <w:r>
              <w:rPr>
                <w:b/>
              </w:rPr>
              <w:t>(If you can, get a variety of opinions here rather than a bunch of historians who say the same thing)</w:t>
            </w: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</w:pPr>
            <w:r w:rsidRPr="00A65D61">
              <w:t>Declaration of Rights of Man an Citizen (26 August 1789)</w:t>
            </w:r>
          </w:p>
        </w:tc>
        <w:tc>
          <w:tcPr>
            <w:tcW w:w="2467" w:type="dxa"/>
          </w:tcPr>
          <w:p w:rsidR="00A65D61" w:rsidRDefault="00A65D61">
            <w:pPr>
              <w:rPr>
                <w:b/>
              </w:rPr>
            </w:pPr>
            <w:r w:rsidRPr="00A65D61">
              <w:rPr>
                <w:b/>
              </w:rPr>
              <w:t>Background</w:t>
            </w:r>
            <w:r>
              <w:rPr>
                <w:b/>
              </w:rPr>
              <w:t>:</w:t>
            </w:r>
          </w:p>
          <w:p w:rsidR="00A65D61" w:rsidRDefault="00A65D61">
            <w:pPr>
              <w:rPr>
                <w:b/>
              </w:rPr>
            </w:pPr>
          </w:p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passing of this legislation </w:t>
            </w:r>
            <w:r w:rsidRPr="00501DF1">
              <w:rPr>
                <w:b/>
              </w:rPr>
              <w:t xml:space="preserve">followed the Decrees of </w:t>
            </w:r>
            <w:proofErr w:type="gramStart"/>
            <w:r w:rsidRPr="00501DF1">
              <w:rPr>
                <w:b/>
              </w:rPr>
              <w:t>the  Night</w:t>
            </w:r>
            <w:proofErr w:type="gramEnd"/>
            <w:r w:rsidRPr="00501DF1">
              <w:rPr>
                <w:b/>
              </w:rPr>
              <w:t xml:space="preserve"> of August 4</w:t>
            </w:r>
            <w:r>
              <w:t>.</w:t>
            </w:r>
          </w:p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DORMAC was to lay the </w:t>
            </w:r>
            <w:r w:rsidRPr="00501DF1">
              <w:rPr>
                <w:b/>
              </w:rPr>
              <w:t>foundation of the new constitution</w:t>
            </w:r>
            <w:r>
              <w:t xml:space="preserve"> – it was a precursor to the constitution to be written up by the National Assembly</w:t>
            </w:r>
          </w:p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condemned the practices of The Old Regime France- outlined the rights of the citizens- </w:t>
            </w:r>
            <w:r w:rsidRPr="0050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drew on </w:t>
            </w:r>
            <w:r w:rsidRPr="0050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the ideas in the </w:t>
            </w:r>
            <w:r w:rsidRPr="00501D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cahiers</w:t>
            </w:r>
          </w:p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Expresses the voices of </w:t>
            </w:r>
            <w:r w:rsidRPr="00501DF1">
              <w:rPr>
                <w:rFonts w:ascii="Times New Roman" w:hAnsi="Times New Roman" w:cs="Times New Roman"/>
                <w:b/>
                <w:sz w:val="24"/>
                <w:szCs w:val="24"/>
              </w:rPr>
              <w:t>enlightened thinkers, liberal nobility and the wealthy bourgeoisie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(refer to property clause).</w:t>
            </w:r>
          </w:p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document </w:t>
            </w:r>
            <w:r w:rsidR="00501DF1" w:rsidRPr="00501DF1">
              <w:rPr>
                <w:rFonts w:ascii="Times New Roman" w:hAnsi="Times New Roman" w:cs="Times New Roman"/>
                <w:b/>
                <w:sz w:val="24"/>
                <w:szCs w:val="24"/>
              </w:rPr>
              <w:t>abolished the feudal regime, removed seigneurial dues, all forms of tithe</w:t>
            </w:r>
            <w:r w:rsidR="00501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5D61" w:rsidRDefault="00A65D61">
            <w:pPr>
              <w:rPr>
                <w:b/>
              </w:rPr>
            </w:pPr>
          </w:p>
          <w:p w:rsidR="00A65D61" w:rsidRPr="00A65D61" w:rsidRDefault="00A65D61">
            <w:pPr>
              <w:rPr>
                <w:b/>
              </w:rPr>
            </w:pPr>
          </w:p>
        </w:tc>
        <w:tc>
          <w:tcPr>
            <w:tcW w:w="2392" w:type="dxa"/>
          </w:tcPr>
          <w:p w:rsidR="00A65D61" w:rsidRPr="00501DF1" w:rsidRDefault="00501DF1" w:rsidP="00501DF1">
            <w:pPr>
              <w:pStyle w:val="ListParagraph"/>
              <w:numPr>
                <w:ilvl w:val="0"/>
                <w:numId w:val="1"/>
              </w:numPr>
            </w:pPr>
            <w:r w:rsidRPr="00501DF1">
              <w:rPr>
                <w:b/>
              </w:rPr>
              <w:lastRenderedPageBreak/>
              <w:t>Kept the King</w:t>
            </w:r>
            <w:r>
              <w:t xml:space="preserve"> as the ‘restorer of French Liberty – signifying that the N.A were keen to see the revolution stop, and for a constitutional monarchy to be established</w:t>
            </w:r>
          </w:p>
          <w:p w:rsidR="00501DF1" w:rsidRDefault="00501DF1" w:rsidP="00501DF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01DF1">
              <w:t xml:space="preserve">DORMAC </w:t>
            </w:r>
            <w:r w:rsidRPr="00501DF1">
              <w:rPr>
                <w:b/>
              </w:rPr>
              <w:t>didn’t really deliver much to the Peasants</w:t>
            </w:r>
            <w:r w:rsidRPr="00501DF1">
              <w:t xml:space="preserve"> – the sweeping claim that: </w:t>
            </w:r>
            <w:r w:rsidRPr="00501DF1">
              <w:t xml:space="preserve">‘The National Assembly destroys in its entirety the feudal regime’ was, </w:t>
            </w:r>
            <w:r w:rsidRPr="00501DF1">
              <w:t xml:space="preserve">not in practice to be delivered as </w:t>
            </w:r>
            <w:r w:rsidRPr="00501DF1">
              <w:rPr>
                <w:b/>
              </w:rPr>
              <w:t xml:space="preserve">feudal dues effectively </w:t>
            </w:r>
            <w:r w:rsidRPr="00501DF1">
              <w:rPr>
                <w:b/>
              </w:rPr>
              <w:lastRenderedPageBreak/>
              <w:t>remained in place until 1792</w:t>
            </w:r>
          </w:p>
          <w:p w:rsidR="007F22D0" w:rsidRPr="00501DF1" w:rsidRDefault="007F22D0" w:rsidP="00501DF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  <w:p w:rsidR="00501DF1" w:rsidRPr="00501DF1" w:rsidRDefault="00501DF1" w:rsidP="00501DF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Peasant dissatisfaction at the lack of change only </w:t>
            </w:r>
            <w:r w:rsidRPr="00501DF1">
              <w:rPr>
                <w:b/>
              </w:rPr>
              <w:t>increased Peasant resentment of the Monarchy and the aristocracy</w:t>
            </w:r>
          </w:p>
          <w:p w:rsidR="00501DF1" w:rsidRPr="00A65D61" w:rsidRDefault="00501DF1" w:rsidP="00501DF1">
            <w:pPr>
              <w:pStyle w:val="ListParagraph"/>
              <w:ind w:left="360"/>
            </w:pPr>
          </w:p>
        </w:tc>
        <w:tc>
          <w:tcPr>
            <w:tcW w:w="2426" w:type="dxa"/>
          </w:tcPr>
          <w:p w:rsidR="00501DF1" w:rsidRDefault="00501DF1" w:rsidP="00501DF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In theory it </w:t>
            </w:r>
            <w:r w:rsidRPr="00501DF1">
              <w:rPr>
                <w:b/>
              </w:rPr>
              <w:t>abolished the feudal system and the system of prestige</w:t>
            </w:r>
          </w:p>
          <w:p w:rsidR="00501DF1" w:rsidRDefault="00501DF1" w:rsidP="00501DF1">
            <w:pPr>
              <w:pStyle w:val="ListParagraph"/>
              <w:numPr>
                <w:ilvl w:val="0"/>
                <w:numId w:val="2"/>
              </w:numPr>
            </w:pPr>
            <w:r w:rsidRPr="00501DF1">
              <w:t xml:space="preserve">This formalised the revolution as a </w:t>
            </w:r>
            <w:r w:rsidRPr="00501DF1">
              <w:rPr>
                <w:b/>
              </w:rPr>
              <w:t>shift from the absolute monarchy</w:t>
            </w:r>
            <w:r w:rsidRPr="00501DF1">
              <w:t xml:space="preserve"> and the system of privilege to a new society characterised by liberty and popular sovereignty. </w:t>
            </w:r>
            <w:r w:rsidRPr="00501DF1">
              <w:rPr>
                <w:b/>
              </w:rPr>
              <w:t>Power had shifted from the crown to the National Assembly</w:t>
            </w:r>
            <w:r w:rsidRPr="00501DF1">
              <w:t xml:space="preserve"> whose role was now to create a new constitution for France.</w:t>
            </w:r>
          </w:p>
          <w:p w:rsidR="00501DF1" w:rsidRDefault="00501DF1" w:rsidP="00501DF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August Decrees and DORMAC failed to clearly define who was and wasn’t a citizen of France.</w:t>
            </w:r>
          </w:p>
          <w:p w:rsidR="00A65D61" w:rsidRPr="00A65D61" w:rsidRDefault="00A65D61"/>
        </w:tc>
        <w:tc>
          <w:tcPr>
            <w:tcW w:w="2182" w:type="dxa"/>
          </w:tcPr>
          <w:p w:rsidR="007F22D0" w:rsidRDefault="007F22D0" w:rsidP="007F22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lastRenderedPageBreak/>
              <w:t xml:space="preserve">The Document </w:t>
            </w:r>
            <w:r w:rsidRPr="007F22D0">
              <w:t xml:space="preserve">was written primarily by </w:t>
            </w:r>
            <w:r w:rsidRPr="007F22D0">
              <w:t xml:space="preserve">Lafayette and </w:t>
            </w:r>
            <w:proofErr w:type="spellStart"/>
            <w:r w:rsidRPr="007F22D0">
              <w:t>Mounier</w:t>
            </w:r>
            <w:proofErr w:type="spellEnd"/>
          </w:p>
          <w:p w:rsidR="007F22D0" w:rsidRPr="007F22D0" w:rsidRDefault="007F22D0" w:rsidP="007F22D0">
            <w:pPr>
              <w:pStyle w:val="ListParagraph"/>
              <w:numPr>
                <w:ilvl w:val="0"/>
                <w:numId w:val="2"/>
              </w:numPr>
            </w:pPr>
            <w:r w:rsidRPr="007F22D0">
              <w:t xml:space="preserve">The assembly argued that property was declared to be ‘a sacred and inviolable right’ – this raised several questions about how peasants and </w:t>
            </w:r>
            <w:r>
              <w:t>sharecroppers should be treated</w:t>
            </w:r>
            <w:r>
              <w:t>.</w:t>
            </w:r>
          </w:p>
          <w:p w:rsidR="00A65D61" w:rsidRDefault="00501DF1" w:rsidP="007F22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F22D0">
              <w:t xml:space="preserve">Quotes: </w:t>
            </w:r>
            <w:r w:rsidRPr="00501DF1">
              <w:t xml:space="preserve">“considering that ignorance , </w:t>
            </w:r>
            <w:r w:rsidRPr="00501DF1">
              <w:lastRenderedPageBreak/>
              <w:t>neglect and scorn of the rights of man are the sole causes of public misfortunes and of</w:t>
            </w:r>
            <w:r>
              <w:t xml:space="preserve"> </w:t>
            </w:r>
            <w:r w:rsidRPr="00501DF1">
              <w:t>corruption of governments” the declaration will “continually remind them of their rights and their duties….the demands of th</w:t>
            </w:r>
            <w:r>
              <w:t xml:space="preserve">e </w:t>
            </w:r>
            <w:r w:rsidRPr="007F22D0">
              <w:t>citizens…will always contribute to the maintenance of the constitution and the happiness of all”</w:t>
            </w:r>
          </w:p>
          <w:p w:rsidR="007F22D0" w:rsidRPr="007F22D0" w:rsidRDefault="007F22D0" w:rsidP="007F22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>
              <w:t>Siegneural</w:t>
            </w:r>
            <w:proofErr w:type="spellEnd"/>
            <w:r>
              <w:t xml:space="preserve"> dues could be removed provided peasants paid compensation of 25-35% of the annual dues  (far beyond the means of most peasants)</w:t>
            </w:r>
          </w:p>
          <w:p w:rsidR="007F22D0" w:rsidRPr="007F22D0" w:rsidRDefault="007F22D0" w:rsidP="007F22D0">
            <w:pPr>
              <w:pStyle w:val="ListParagraph"/>
              <w:numPr>
                <w:ilvl w:val="0"/>
                <w:numId w:val="2"/>
              </w:numPr>
            </w:pPr>
            <w:r w:rsidRPr="007F22D0">
              <w:t xml:space="preserve">It took two years for the Assembly </w:t>
            </w:r>
            <w:r w:rsidRPr="007F22D0">
              <w:lastRenderedPageBreak/>
              <w:t xml:space="preserve">to do much to wind back </w:t>
            </w:r>
            <w:proofErr w:type="spellStart"/>
            <w:r>
              <w:t>seigneurialism</w:t>
            </w:r>
            <w:proofErr w:type="spellEnd"/>
          </w:p>
          <w:p w:rsidR="00501DF1" w:rsidRPr="00A65D61" w:rsidRDefault="007F22D0" w:rsidP="0087225F">
            <w:pPr>
              <w:pStyle w:val="ListParagraph"/>
              <w:numPr>
                <w:ilvl w:val="0"/>
                <w:numId w:val="2"/>
              </w:numPr>
            </w:pPr>
            <w:r w:rsidRPr="007F22D0">
              <w:t>On 35 August 1792, the L.A abolished seigneurial dues in their entirety without compensation.</w:t>
            </w:r>
          </w:p>
        </w:tc>
        <w:tc>
          <w:tcPr>
            <w:tcW w:w="2182" w:type="dxa"/>
          </w:tcPr>
          <w:p w:rsidR="00501DF1" w:rsidRPr="007F22D0" w:rsidRDefault="00501DF1" w:rsidP="007F22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George Rude: “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 xml:space="preserve">….it sounded the death-knell of the </w:t>
            </w:r>
            <w:proofErr w:type="spellStart"/>
            <w:r w:rsidRPr="007F22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ancien</w:t>
            </w:r>
            <w:proofErr w:type="spellEnd"/>
            <w:r w:rsidRPr="007F22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regime, 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while preparing the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public for the constructive legislation that was to follow”</w:t>
            </w:r>
          </w:p>
          <w:p w:rsidR="00501DF1" w:rsidRPr="007F22D0" w:rsidRDefault="00501DF1" w:rsidP="007F2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 xml:space="preserve">Rude: ‘having won victory over “privilege” and “despotism”, the bourgeoisie now wanted peace and quiet in order to proceed with its task of 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giving France a constitution’</w:t>
            </w:r>
          </w:p>
          <w:p w:rsidR="007F22D0" w:rsidRPr="007F22D0" w:rsidRDefault="007F22D0" w:rsidP="007F2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McPhee: 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the declaration was ‘above all a statement of bourgeois idealism’</w:t>
            </w:r>
          </w:p>
          <w:p w:rsidR="00A65D61" w:rsidRPr="00A65D61" w:rsidRDefault="00A65D61" w:rsidP="007F22D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08145F" w:rsidRPr="00A65D61" w:rsidRDefault="0008145F"/>
    <w:sectPr w:rsidR="0008145F" w:rsidRPr="00A65D61" w:rsidSect="00A65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8B8"/>
    <w:multiLevelType w:val="hybridMultilevel"/>
    <w:tmpl w:val="DDF47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4732"/>
    <w:multiLevelType w:val="hybridMultilevel"/>
    <w:tmpl w:val="638084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73A5"/>
    <w:multiLevelType w:val="hybridMultilevel"/>
    <w:tmpl w:val="D228C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61"/>
    <w:rsid w:val="0008145F"/>
    <w:rsid w:val="000D758F"/>
    <w:rsid w:val="003C5C1B"/>
    <w:rsid w:val="00501DF1"/>
    <w:rsid w:val="00613384"/>
    <w:rsid w:val="007F22D0"/>
    <w:rsid w:val="0087225F"/>
    <w:rsid w:val="00922915"/>
    <w:rsid w:val="00A32ECD"/>
    <w:rsid w:val="00A65D61"/>
    <w:rsid w:val="00C90768"/>
    <w:rsid w:val="00CC54BA"/>
    <w:rsid w:val="00DA6C15"/>
    <w:rsid w:val="00E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F644-7262-466D-B1AA-BB701BAC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D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Cain</dc:creator>
  <cp:keywords/>
  <dc:description/>
  <cp:lastModifiedBy>Tom Cain</cp:lastModifiedBy>
  <cp:revision>2</cp:revision>
  <dcterms:created xsi:type="dcterms:W3CDTF">2015-09-16T06:03:00Z</dcterms:created>
  <dcterms:modified xsi:type="dcterms:W3CDTF">2015-09-16T06:39:00Z</dcterms:modified>
</cp:coreProperties>
</file>